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5103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1</w:t>
      </w:r>
      <w:r>
        <w:rPr>
          <w:sz w:val="22"/>
          <w:szCs w:val="22"/>
        </w:rPr>
        <w:t xml:space="preserve">0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103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103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Порядок предоставления ресурсов и оказания Заказчиком </w:t>
      </w:r>
      <w:r>
        <w:rPr>
          <w:b/>
          <w:sz w:val="24"/>
          <w:szCs w:val="24"/>
        </w:rPr>
        <w:t xml:space="preserve">услуг,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необходимых для исполнения Подрядчиком обязательств по Договору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71"/>
        <w:numPr>
          <w:ilvl w:val="0"/>
          <w:numId w:val="44"/>
        </w:numPr>
        <w:ind w:left="0" w:firstLine="0"/>
        <w:jc w:val="center"/>
        <w:tabs>
          <w:tab w:val="left" w:pos="284" w:leader="none"/>
        </w:tabs>
        <w:rPr>
          <w:b/>
        </w:rPr>
      </w:pPr>
      <w:r>
        <w:rPr>
          <w:b/>
        </w:rPr>
        <w:t xml:space="preserve">Общие положения</w:t>
      </w:r>
      <w:r>
        <w:rPr>
          <w:b/>
        </w:rPr>
      </w:r>
      <w:r>
        <w:rPr>
          <w:b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целях оказания содействия Подрядчику в выполнении работ по Договору </w:t>
      </w:r>
      <w:r>
        <w:rPr>
          <w:sz w:val="24"/>
          <w:szCs w:val="24"/>
        </w:rPr>
        <w:t xml:space="preserve">Заказчик обеспечивает Подрядчика коммунальными ресурсами, а также </w:t>
      </w:r>
      <w:r>
        <w:rPr>
          <w:sz w:val="24"/>
          <w:szCs w:val="24"/>
        </w:rPr>
        <w:t xml:space="preserve">предоставляет Подрядчику услуги, указанные в разделе ___ «Иные условия поставки товара, выполнения работ, оказания услуг» Технического задания (Приложени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 к Договору).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Техническое задание содержит полный перечень услуг (количественные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качественные и иные характеристики, время и место их предоставления, ограничения).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Предоставление Заказчиком ресурсов и услуг, указанных в Техническом задании (Приложение № 1 к Договору) осуществляется </w:t>
      </w:r>
      <w:r>
        <w:rPr>
          <w:sz w:val="24"/>
          <w:szCs w:val="24"/>
        </w:rPr>
        <w:t xml:space="preserve">без дополнительной оплаты со стороны Подрядчика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В сметной документации затраты Заказчика на</w:t>
      </w:r>
      <w:r>
        <w:rPr>
          <w:sz w:val="24"/>
          <w:szCs w:val="24"/>
        </w:rPr>
        <w:t xml:space="preserve"> ресурсы и </w:t>
      </w:r>
      <w:r>
        <w:rPr>
          <w:sz w:val="24"/>
          <w:szCs w:val="24"/>
        </w:rPr>
        <w:t xml:space="preserve">услуги не учитываются.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Заказчик в зависимости от объема и состава </w:t>
      </w:r>
      <w:r>
        <w:rPr>
          <w:sz w:val="24"/>
          <w:szCs w:val="24"/>
        </w:rPr>
        <w:t xml:space="preserve">работ, выполняемых Подрядчиком</w:t>
      </w:r>
      <w:r>
        <w:rPr>
          <w:sz w:val="24"/>
          <w:szCs w:val="24"/>
        </w:rPr>
        <w:t xml:space="preserve"> по Договору, может </w:t>
      </w:r>
      <w:r>
        <w:rPr>
          <w:sz w:val="24"/>
          <w:szCs w:val="24"/>
        </w:rPr>
        <w:t xml:space="preserve">предоставлять / </w:t>
      </w:r>
      <w:r>
        <w:rPr>
          <w:sz w:val="24"/>
          <w:szCs w:val="24"/>
        </w:rPr>
        <w:t xml:space="preserve">оказывать Подрядчику следующие </w:t>
      </w:r>
      <w:r>
        <w:rPr>
          <w:sz w:val="24"/>
          <w:szCs w:val="24"/>
        </w:rPr>
        <w:t xml:space="preserve">ресурсы и / или </w:t>
      </w:r>
      <w:r>
        <w:rPr>
          <w:sz w:val="24"/>
          <w:szCs w:val="24"/>
        </w:rPr>
        <w:t xml:space="preserve">услуги: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еремещение грузов грузоподъемными механизмами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Коммунальные р</w:t>
      </w:r>
      <w:r>
        <w:rPr>
          <w:sz w:val="24"/>
          <w:szCs w:val="24"/>
        </w:rPr>
        <w:t xml:space="preserve">есурсы: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4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Электроэнерги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4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Вод</w:t>
      </w:r>
      <w:r>
        <w:rPr>
          <w:sz w:val="24"/>
          <w:szCs w:val="24"/>
        </w:rPr>
        <w:t xml:space="preserve">оснабжение и водоотведение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4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Сжатый воздух.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Обеспеч</w:t>
      </w:r>
      <w:r>
        <w:rPr>
          <w:sz w:val="24"/>
          <w:szCs w:val="24"/>
        </w:rPr>
        <w:t xml:space="preserve">ение</w:t>
      </w:r>
      <w:r>
        <w:rPr>
          <w:sz w:val="24"/>
          <w:szCs w:val="24"/>
        </w:rPr>
        <w:t xml:space="preserve"> санитарно-гигиенически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и бытовы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услови</w:t>
      </w:r>
      <w:r>
        <w:rPr>
          <w:sz w:val="24"/>
          <w:szCs w:val="24"/>
        </w:rPr>
        <w:t xml:space="preserve">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Содержание пожарной и сторожевой охраны.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Б</w:t>
      </w:r>
      <w:r>
        <w:rPr>
          <w:sz w:val="24"/>
          <w:szCs w:val="24"/>
        </w:rPr>
        <w:t xml:space="preserve">лагоустройство и содержание строительных площадок.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Пров</w:t>
      </w:r>
      <w:r>
        <w:rPr>
          <w:sz w:val="24"/>
          <w:szCs w:val="24"/>
        </w:rPr>
        <w:t xml:space="preserve">едение</w:t>
      </w:r>
      <w:r>
        <w:rPr>
          <w:sz w:val="24"/>
          <w:szCs w:val="24"/>
        </w:rPr>
        <w:t xml:space="preserve"> химическ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анализ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масел.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сушение оборудования (проточная часть гидроагрегата).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Предоставл</w:t>
      </w:r>
      <w:r>
        <w:rPr>
          <w:sz w:val="24"/>
          <w:szCs w:val="24"/>
        </w:rPr>
        <w:t xml:space="preserve">ение </w:t>
      </w:r>
      <w:r>
        <w:rPr>
          <w:sz w:val="24"/>
          <w:szCs w:val="24"/>
        </w:rPr>
        <w:t xml:space="preserve">доступ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к корпоративной сети </w:t>
      </w:r>
      <w:r>
        <w:rPr>
          <w:sz w:val="24"/>
          <w:szCs w:val="24"/>
          <w:lang w:val="en-US"/>
        </w:rPr>
        <w:t xml:space="preserve">IntraNet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Предоставл</w:t>
      </w:r>
      <w:r>
        <w:rPr>
          <w:sz w:val="24"/>
          <w:szCs w:val="24"/>
        </w:rPr>
        <w:t xml:space="preserve">ение</w:t>
      </w:r>
      <w:r>
        <w:rPr>
          <w:sz w:val="24"/>
          <w:szCs w:val="24"/>
        </w:rPr>
        <w:t xml:space="preserve"> помещени</w:t>
      </w:r>
      <w:r>
        <w:rPr>
          <w:sz w:val="24"/>
          <w:szCs w:val="24"/>
        </w:rPr>
        <w:t xml:space="preserve">й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43"/>
        </w:numPr>
        <w:ind w:left="0" w:firstLine="709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Помещен</w:t>
      </w:r>
      <w:r>
        <w:rPr>
          <w:bCs/>
          <w:sz w:val="24"/>
          <w:szCs w:val="24"/>
        </w:rPr>
        <w:t xml:space="preserve">ий </w:t>
      </w:r>
      <w:r>
        <w:rPr>
          <w:bCs/>
          <w:sz w:val="24"/>
          <w:szCs w:val="24"/>
        </w:rPr>
        <w:t xml:space="preserve">/ площад</w:t>
      </w:r>
      <w:r>
        <w:rPr>
          <w:bCs/>
          <w:sz w:val="24"/>
          <w:szCs w:val="24"/>
        </w:rPr>
        <w:t xml:space="preserve">ок</w:t>
      </w:r>
      <w:r>
        <w:rPr>
          <w:bCs/>
          <w:sz w:val="24"/>
          <w:szCs w:val="24"/>
        </w:rPr>
        <w:t xml:space="preserve"> для размещения персонала </w:t>
      </w:r>
      <w:r>
        <w:rPr>
          <w:bCs/>
          <w:sz w:val="24"/>
          <w:szCs w:val="24"/>
        </w:rPr>
        <w:t xml:space="preserve">П</w:t>
      </w:r>
      <w:r>
        <w:rPr>
          <w:bCs/>
          <w:sz w:val="24"/>
          <w:szCs w:val="24"/>
        </w:rPr>
        <w:t xml:space="preserve">одрядчика;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43"/>
        </w:numPr>
        <w:ind w:left="0" w:firstLine="709"/>
        <w:spacing w:line="240" w:lineRule="auto"/>
        <w:rPr>
          <w:sz w:val="24"/>
          <w:szCs w:val="24"/>
        </w:rPr>
      </w:pPr>
      <w:r>
        <w:rPr>
          <w:bCs/>
          <w:sz w:val="24"/>
          <w:szCs w:val="24"/>
        </w:rPr>
        <w:t xml:space="preserve">Складски</w:t>
      </w:r>
      <w:r>
        <w:rPr>
          <w:bCs/>
          <w:sz w:val="24"/>
          <w:szCs w:val="24"/>
        </w:rPr>
        <w:t xml:space="preserve">х</w:t>
      </w:r>
      <w:r>
        <w:rPr>
          <w:bCs/>
          <w:sz w:val="24"/>
          <w:szCs w:val="24"/>
        </w:rPr>
        <w:t xml:space="preserve"> помещени</w:t>
      </w:r>
      <w:r>
        <w:rPr>
          <w:bCs/>
          <w:sz w:val="24"/>
          <w:szCs w:val="24"/>
        </w:rPr>
        <w:t xml:space="preserve">й</w:t>
      </w:r>
      <w:r>
        <w:rPr>
          <w:bCs/>
          <w:sz w:val="24"/>
          <w:szCs w:val="24"/>
        </w:rPr>
        <w:t xml:space="preserve"> и / или площад</w:t>
      </w:r>
      <w:r>
        <w:rPr>
          <w:bCs/>
          <w:sz w:val="24"/>
          <w:szCs w:val="24"/>
        </w:rPr>
        <w:t xml:space="preserve">ок</w:t>
      </w:r>
      <w:r>
        <w:rPr>
          <w:bCs/>
          <w:sz w:val="24"/>
          <w:szCs w:val="24"/>
        </w:rPr>
        <w:t xml:space="preserve"> для погрузки / разгрузки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/ складирования / хранения материально-технических ресурсов, оборудования </w:t>
      </w:r>
      <w:r>
        <w:rPr>
          <w:bCs/>
          <w:sz w:val="24"/>
          <w:szCs w:val="24"/>
        </w:rPr>
        <w:t xml:space="preserve">П</w:t>
      </w:r>
      <w:r>
        <w:rPr>
          <w:bCs/>
          <w:sz w:val="24"/>
          <w:szCs w:val="24"/>
        </w:rPr>
        <w:t xml:space="preserve">одрядчика, а также давальческих материалов и запасных частей, оборудования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1"/>
        <w:numPr>
          <w:ilvl w:val="0"/>
          <w:numId w:val="44"/>
        </w:numPr>
        <w:ind w:left="0" w:firstLine="0"/>
        <w:jc w:val="center"/>
        <w:tabs>
          <w:tab w:val="left" w:pos="284" w:leader="none"/>
          <w:tab w:val="left" w:pos="1418" w:leader="none"/>
        </w:tabs>
        <w:rPr>
          <w:b/>
        </w:rPr>
      </w:pPr>
      <w:r>
        <w:rPr>
          <w:b/>
        </w:rPr>
        <w:t xml:space="preserve">Порядок предоставления </w:t>
      </w:r>
      <w:r>
        <w:rPr>
          <w:b/>
        </w:rPr>
        <w:t xml:space="preserve">ресурсов и </w:t>
      </w:r>
      <w:r>
        <w:rPr>
          <w:b/>
        </w:rPr>
        <w:t xml:space="preserve">услуг</w:t>
      </w:r>
      <w:r>
        <w:rPr>
          <w:b/>
        </w:rPr>
      </w:r>
      <w:r>
        <w:rPr>
          <w:b/>
        </w:rPr>
      </w:r>
    </w:p>
    <w:p>
      <w:pPr>
        <w:pStyle w:val="971"/>
        <w:numPr>
          <w:ilvl w:val="0"/>
          <w:numId w:val="45"/>
        </w:numPr>
        <w:ind w:left="0" w:firstLine="709"/>
        <w:jc w:val="both"/>
        <w:spacing w:after="120"/>
        <w:tabs>
          <w:tab w:val="left" w:pos="1134" w:leader="none"/>
          <w:tab w:val="left" w:pos="1418" w:leader="none"/>
        </w:tabs>
        <w:rPr>
          <w:b/>
          <w:u w:val="single"/>
        </w:rPr>
      </w:pPr>
      <w:r>
        <w:rPr>
          <w:u w:val="single"/>
        </w:rPr>
        <w:t xml:space="preserve">Перемещение грузов грузоподъемными механизмами (далее – ГПМ) Заказчика</w:t>
      </w:r>
      <w:r>
        <w:rPr>
          <w:b/>
          <w:u w:val="single"/>
        </w:rPr>
      </w:r>
      <w:r>
        <w:rPr>
          <w:b/>
          <w:u w:val="singl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Услуги по перемещению грузов ГПМ Заказчика предоставляются по предварительным заявкам Подрядчика. </w:t>
      </w:r>
      <w:r>
        <w:rPr>
          <w:sz w:val="24"/>
          <w:szCs w:val="24"/>
        </w:rPr>
        <w:t xml:space="preserve">Вид ГПМ, используемых для оказания услуг, определяются Заказчиком самостоятельно.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Управление ГПМ осуществляют </w:t>
      </w:r>
      <w:r>
        <w:rPr>
          <w:sz w:val="24"/>
          <w:szCs w:val="24"/>
        </w:rPr>
        <w:t xml:space="preserve">работники Заказчика, </w:t>
      </w:r>
      <w:r>
        <w:rPr>
          <w:sz w:val="24"/>
          <w:szCs w:val="24"/>
        </w:rPr>
        <w:t xml:space="preserve">имеющие специальную квалификацию </w:t>
      </w:r>
      <w:r>
        <w:rPr>
          <w:sz w:val="24"/>
          <w:szCs w:val="24"/>
        </w:rPr>
        <w:t xml:space="preserve">(прошедшие обучение и аттестацию) </w:t>
      </w:r>
      <w:r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опыт работы,</w:t>
      </w:r>
      <w:r>
        <w:rPr>
          <w:sz w:val="24"/>
          <w:szCs w:val="24"/>
        </w:rPr>
        <w:t xml:space="preserve"> или работники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специализированной </w:t>
      </w:r>
      <w:r>
        <w:rPr>
          <w:sz w:val="24"/>
          <w:szCs w:val="24"/>
        </w:rPr>
        <w:t xml:space="preserve">эксплуатирующей </w:t>
      </w:r>
      <w:r>
        <w:rPr>
          <w:sz w:val="24"/>
          <w:szCs w:val="24"/>
        </w:rPr>
        <w:t xml:space="preserve">организации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привлечённой Заказчиком для оказания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Заказчик обеспечивает содержание ГПМ в </w:t>
      </w:r>
      <w:r>
        <w:rPr>
          <w:sz w:val="24"/>
          <w:szCs w:val="24"/>
        </w:rPr>
        <w:t xml:space="preserve">работоспособном </w:t>
      </w:r>
      <w:r>
        <w:rPr>
          <w:sz w:val="24"/>
          <w:szCs w:val="24"/>
        </w:rPr>
        <w:t xml:space="preserve">состоянии</w:t>
      </w:r>
      <w:r>
        <w:rPr>
          <w:sz w:val="24"/>
          <w:szCs w:val="24"/>
        </w:rPr>
        <w:t xml:space="preserve">, в том числе путем организации и планирования технического освидетельствования,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технического обслуживания и ремонтов,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 также соблюдение технологического процесса транспортировки грузов.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1"/>
        <w:numPr>
          <w:ilvl w:val="0"/>
          <w:numId w:val="45"/>
        </w:numPr>
        <w:ind w:left="0" w:firstLine="709"/>
        <w:spacing w:after="120"/>
        <w:tabs>
          <w:tab w:val="left" w:pos="1134" w:leader="none"/>
        </w:tabs>
        <w:rPr>
          <w:u w:val="single"/>
        </w:rPr>
      </w:pPr>
      <w:r>
        <w:rPr>
          <w:u w:val="single"/>
        </w:rPr>
        <w:t xml:space="preserve">П</w:t>
      </w:r>
      <w:r>
        <w:rPr>
          <w:u w:val="single"/>
        </w:rPr>
        <w:t xml:space="preserve">редоставлени</w:t>
      </w:r>
      <w:r>
        <w:rPr>
          <w:u w:val="single"/>
        </w:rPr>
        <w:t xml:space="preserve">е</w:t>
      </w:r>
      <w:r>
        <w:rPr>
          <w:u w:val="single"/>
        </w:rPr>
        <w:t xml:space="preserve"> ресурсов</w:t>
      </w:r>
      <w:r>
        <w:rPr>
          <w:u w:val="single"/>
        </w:rPr>
      </w:r>
      <w:r>
        <w:rPr>
          <w:u w:val="single"/>
        </w:rPr>
      </w:r>
    </w:p>
    <w:p>
      <w:pPr>
        <w:ind w:firstLine="709"/>
        <w:spacing w:after="12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обеспечивает Подрядчика ресурсами (электроэнергией, водой, сжатым воздухом), необходимыми для бытовых и производственных нужд по потребности Подрядчика.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1"/>
        <w:numPr>
          <w:ilvl w:val="0"/>
          <w:numId w:val="45"/>
        </w:numPr>
        <w:ind w:left="0" w:firstLine="709"/>
        <w:jc w:val="both"/>
        <w:spacing w:after="120"/>
        <w:tabs>
          <w:tab w:val="left" w:pos="1134" w:leader="none"/>
        </w:tabs>
        <w:rPr>
          <w:u w:val="single"/>
        </w:rPr>
      </w:pPr>
      <w:r>
        <w:rPr>
          <w:u w:val="single"/>
        </w:rPr>
        <w:t xml:space="preserve">Обеспечение санитарно-гигиенических и бытовых условий</w:t>
      </w:r>
      <w:r>
        <w:rPr>
          <w:u w:val="single"/>
        </w:rPr>
      </w:r>
      <w:r>
        <w:rPr>
          <w:u w:val="single"/>
        </w:rPr>
      </w:r>
    </w:p>
    <w:p>
      <w:pPr>
        <w:ind w:firstLine="709"/>
        <w:spacing w:after="120"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Заказчик по установленным нормам оборуду</w:t>
      </w:r>
      <w:r>
        <w:rPr>
          <w:bCs/>
          <w:sz w:val="24"/>
          <w:szCs w:val="24"/>
        </w:rPr>
        <w:t xml:space="preserve">е</w:t>
      </w:r>
      <w:r>
        <w:rPr>
          <w:bCs/>
          <w:sz w:val="24"/>
          <w:szCs w:val="24"/>
        </w:rPr>
        <w:t xml:space="preserve">т санитарно-бытовые помещения, помещения для приема пищи, помещения для оказания медицинской помощи; организу</w:t>
      </w:r>
      <w:r>
        <w:rPr>
          <w:bCs/>
          <w:sz w:val="24"/>
          <w:szCs w:val="24"/>
        </w:rPr>
        <w:t xml:space="preserve">е</w:t>
      </w:r>
      <w:r>
        <w:rPr>
          <w:bCs/>
          <w:sz w:val="24"/>
          <w:szCs w:val="24"/>
        </w:rPr>
        <w:t xml:space="preserve">т посты для оказания первой </w:t>
      </w:r>
      <w:r>
        <w:rPr>
          <w:bCs/>
          <w:sz w:val="24"/>
          <w:szCs w:val="24"/>
        </w:rPr>
        <w:t xml:space="preserve">медицинской </w:t>
      </w:r>
      <w:r>
        <w:rPr>
          <w:bCs/>
          <w:sz w:val="24"/>
          <w:szCs w:val="24"/>
        </w:rPr>
        <w:t xml:space="preserve">помощи, укомплектованные аптечками, предоставляет душевые и уборные при </w:t>
      </w:r>
      <w:r>
        <w:rPr>
          <w:bCs/>
          <w:sz w:val="24"/>
          <w:szCs w:val="24"/>
        </w:rPr>
        <w:t xml:space="preserve">их </w:t>
      </w:r>
      <w:r>
        <w:rPr>
          <w:bCs/>
          <w:sz w:val="24"/>
          <w:szCs w:val="24"/>
        </w:rPr>
        <w:t xml:space="preserve">наличии в местах производства работ, и другое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обеспечение санитарно-гигиенических и бытовых </w:t>
      </w:r>
      <w:r>
        <w:rPr>
          <w:bCs/>
          <w:sz w:val="24"/>
          <w:szCs w:val="24"/>
        </w:rPr>
        <w:t xml:space="preserve">условий.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45"/>
        </w:numPr>
        <w:ind w:left="0" w:firstLine="709"/>
        <w:spacing w:after="120" w:line="240" w:lineRule="auto"/>
        <w:tabs>
          <w:tab w:val="left" w:pos="1134" w:leader="none"/>
        </w:tabs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Содержание пожарной и сторожевой охраны</w:t>
      </w: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</w:p>
    <w:p>
      <w:pPr>
        <w:ind w:firstLine="709"/>
        <w:spacing w:after="12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Обеспечение пожарной и сторожевой охраны </w:t>
      </w:r>
      <w:r>
        <w:rPr>
          <w:sz w:val="24"/>
          <w:szCs w:val="24"/>
        </w:rPr>
        <w:t xml:space="preserve">места производства Работ</w:t>
      </w:r>
      <w:r>
        <w:rPr>
          <w:sz w:val="24"/>
          <w:szCs w:val="24"/>
        </w:rPr>
        <w:t xml:space="preserve">, осуществляет Заказчик в соответствии с </w:t>
      </w:r>
      <w:r>
        <w:rPr>
          <w:sz w:val="24"/>
          <w:szCs w:val="24"/>
        </w:rPr>
        <w:t xml:space="preserve">установленными им </w:t>
      </w:r>
      <w:r>
        <w:rPr>
          <w:sz w:val="24"/>
          <w:szCs w:val="24"/>
        </w:rPr>
        <w:t xml:space="preserve">правилами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5"/>
        </w:numPr>
        <w:ind w:left="0" w:firstLine="709"/>
        <w:spacing w:after="120" w:line="240" w:lineRule="auto"/>
        <w:tabs>
          <w:tab w:val="left" w:pos="1134" w:leader="none"/>
        </w:tabs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Благоустройство и содержание строительных площадок</w:t>
      </w: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борку места производства Работ, вывоз строительного мусора и отходов Подрядчика, образовавшихся в ходе выполнения Работ, в места</w:t>
      </w:r>
      <w:r>
        <w:rPr>
          <w:sz w:val="24"/>
          <w:szCs w:val="24"/>
        </w:rPr>
        <w:t xml:space="preserve">, отведенные Заказчиком,</w:t>
      </w:r>
      <w:r>
        <w:rPr>
          <w:sz w:val="24"/>
          <w:szCs w:val="24"/>
        </w:rPr>
        <w:t xml:space="preserve"> обеспечивает Подрядчик.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несет расходы, связанные с освещением </w:t>
      </w:r>
      <w:r>
        <w:rPr>
          <w:sz w:val="24"/>
          <w:szCs w:val="24"/>
        </w:rPr>
        <w:t xml:space="preserve">места производства Работ</w:t>
      </w:r>
      <w:r>
        <w:rPr>
          <w:sz w:val="24"/>
          <w:szCs w:val="24"/>
        </w:rPr>
        <w:t xml:space="preserve">: на электроэнергию, электролампочки, оплату труда (с отчислениями на социальные нужды) дежурных электромонтеров и другие расходы в соответствии с </w:t>
      </w:r>
      <w:r>
        <w:rPr>
          <w:sz w:val="24"/>
          <w:szCs w:val="24"/>
        </w:rPr>
        <w:t xml:space="preserve">установленными Заказчиком </w:t>
      </w:r>
      <w:r>
        <w:rPr>
          <w:sz w:val="24"/>
          <w:szCs w:val="24"/>
        </w:rPr>
        <w:t xml:space="preserve">правилами. При этом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дополнительное освещение мест производства </w:t>
      </w: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абот, при необходимости, обеспечивает Подрядчик (кроме затрат на ресурсы, предоставляемые Заказчиком в соответствии с </w:t>
      </w:r>
      <w:r>
        <w:rPr>
          <w:sz w:val="24"/>
          <w:szCs w:val="24"/>
        </w:rPr>
        <w:t xml:space="preserve">пунктом 2 настоящего Порядка «П</w:t>
      </w:r>
      <w:r>
        <w:rPr>
          <w:sz w:val="24"/>
          <w:szCs w:val="24"/>
        </w:rPr>
        <w:t xml:space="preserve">редоставлени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ресурсов</w:t>
      </w:r>
      <w:r>
        <w:rPr>
          <w:sz w:val="24"/>
          <w:szCs w:val="24"/>
        </w:rPr>
        <w:t xml:space="preserve">»)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5"/>
        </w:numPr>
        <w:ind w:left="0" w:firstLine="709"/>
        <w:spacing w:after="120" w:line="240" w:lineRule="auto"/>
        <w:tabs>
          <w:tab w:val="left" w:pos="1134" w:leader="none"/>
          <w:tab w:val="left" w:pos="1418" w:leader="none"/>
        </w:tabs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Проведение химического анализа масел</w:t>
      </w: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</w:p>
    <w:p>
      <w:pPr>
        <w:ind w:firstLine="709"/>
        <w:spacing w:after="120" w:line="240" w:lineRule="auto"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по </w:t>
      </w:r>
      <w:r>
        <w:rPr>
          <w:sz w:val="24"/>
          <w:szCs w:val="24"/>
        </w:rPr>
        <w:t xml:space="preserve">письменной </w:t>
      </w:r>
      <w:r>
        <w:rPr>
          <w:sz w:val="24"/>
          <w:szCs w:val="24"/>
        </w:rPr>
        <w:t xml:space="preserve">заявке Подрядчика обеспечивает проведение химического 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нализа отобранного Подрядчиком турбинного и трансформаторного масла и передает Подрядчику копию протокола результатов химического анализа.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5"/>
        </w:numPr>
        <w:ind w:left="0" w:firstLine="709"/>
        <w:spacing w:after="120" w:line="240" w:lineRule="auto"/>
        <w:tabs>
          <w:tab w:val="left" w:pos="1134" w:leader="none"/>
          <w:tab w:val="left" w:pos="1418" w:leader="none"/>
        </w:tabs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Осушение оборудования (проточная часть гидроагрегата)</w:t>
      </w: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</w:p>
    <w:p>
      <w:pPr>
        <w:ind w:firstLine="709"/>
        <w:spacing w:after="12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по </w:t>
      </w:r>
      <w:r>
        <w:rPr>
          <w:sz w:val="24"/>
          <w:szCs w:val="24"/>
        </w:rPr>
        <w:t xml:space="preserve">письменной </w:t>
      </w:r>
      <w:r>
        <w:rPr>
          <w:sz w:val="24"/>
          <w:szCs w:val="24"/>
        </w:rPr>
        <w:t xml:space="preserve">заявке Подрядчика</w:t>
      </w:r>
      <w:r>
        <w:rPr>
          <w:sz w:val="24"/>
          <w:szCs w:val="24"/>
        </w:rPr>
        <w:t xml:space="preserve"> осуществляет осушение проточной части гидроагрегата</w:t>
      </w:r>
      <w:r>
        <w:rPr>
          <w:sz w:val="24"/>
          <w:szCs w:val="24"/>
        </w:rPr>
        <w:t xml:space="preserve"> в соответстви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 с утвержденным графиком.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5"/>
        </w:numPr>
        <w:ind w:left="0" w:firstLine="709"/>
        <w:spacing w:after="120" w:line="240" w:lineRule="auto"/>
        <w:tabs>
          <w:tab w:val="left" w:pos="1134" w:leader="none"/>
        </w:tabs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Порядок предоставления помещений</w:t>
      </w: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</w:p>
    <w:p>
      <w:pPr>
        <w:ind w:firstLine="709"/>
        <w:spacing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обеспечивает</w:t>
      </w:r>
      <w:r>
        <w:rPr>
          <w:bCs/>
          <w:sz w:val="24"/>
          <w:szCs w:val="24"/>
        </w:rPr>
        <w:t xml:space="preserve"> Подрядчика помещениями (помещения/ п</w:t>
      </w:r>
      <w:r>
        <w:rPr>
          <w:bCs/>
          <w:sz w:val="24"/>
          <w:szCs w:val="24"/>
        </w:rPr>
        <w:t xml:space="preserve">лощадки для размещения персонала подрядчика; складские помещения и / или площадки для погрузки / разгрузки/ складирования / хранения материально-технических ресурсов, оборудования подрядчика, а также давальческих материалов и запасных частей, оборудования </w:t>
      </w:r>
      <w:r>
        <w:rPr>
          <w:bCs/>
          <w:sz w:val="24"/>
          <w:szCs w:val="24"/>
        </w:rPr>
        <w:t xml:space="preserve">и </w:t>
      </w:r>
      <w:r>
        <w:rPr>
          <w:bCs/>
          <w:sz w:val="24"/>
          <w:szCs w:val="24"/>
        </w:rPr>
        <w:t xml:space="preserve">иного переданного Заказчик</w:t>
      </w:r>
      <w:r>
        <w:rPr>
          <w:bCs/>
          <w:sz w:val="24"/>
          <w:szCs w:val="24"/>
        </w:rPr>
        <w:t xml:space="preserve">ом имущества</w:t>
      </w:r>
      <w:r>
        <w:rPr>
          <w:bCs/>
          <w:sz w:val="24"/>
          <w:szCs w:val="24"/>
        </w:rPr>
        <w:t xml:space="preserve">)</w:t>
      </w:r>
      <w:r>
        <w:rPr>
          <w:sz w:val="24"/>
          <w:szCs w:val="24"/>
        </w:rPr>
        <w:t xml:space="preserve">, необходимыми для размещения персонала и хранения материально-технических ресурсов и оборудования, выполнения Работ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Передача помещений осуществляется на основании акта сдачи-приемки по форме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согласованной Сторонами.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несет расходы по капитальному и текущему ремонту предоставленных в пользование </w:t>
      </w:r>
      <w:r>
        <w:rPr>
          <w:bCs/>
          <w:sz w:val="24"/>
          <w:szCs w:val="24"/>
        </w:rPr>
        <w:t xml:space="preserve">помещений</w:t>
      </w:r>
      <w:r>
        <w:rPr>
          <w:sz w:val="24"/>
          <w:szCs w:val="24"/>
        </w:rPr>
        <w:t xml:space="preserve">. Подрядчик </w:t>
      </w:r>
      <w:r>
        <w:rPr>
          <w:bCs/>
          <w:sz w:val="24"/>
          <w:szCs w:val="24"/>
        </w:rPr>
        <w:t xml:space="preserve">обеспечивает уборку и сохранность переданных Заказчиком по соответствующим актам сдачи-приемки помещений, а также возврат их Заказчику в первоначальном состоянии с учетом естест</w:t>
      </w:r>
      <w:r>
        <w:rPr>
          <w:bCs/>
          <w:sz w:val="24"/>
          <w:szCs w:val="24"/>
        </w:rPr>
        <w:t xml:space="preserve">венного износа не позднее даты окончания выполнения Работ, либо, в случаях прекращения (расторжения) Договора, – не позднее 3 (трех) рабочих дней с даты получения соответствующего требования Заказчика.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643"/>
        <w:gridCol w:w="4996"/>
      </w:tblGrid>
      <w:tr>
        <w:tblPrEx/>
        <w:trPr/>
        <w:tc>
          <w:tcPr>
            <w:shd w:val="clear" w:color="ffffff" w:fill="ffffff"/>
            <w:tcW w:w="464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</w:t>
            </w:r>
            <w:r>
              <w:rPr>
                <w:b/>
                <w:sz w:val="24"/>
                <w:szCs w:val="24"/>
              </w:rPr>
              <w:t xml:space="preserve">аказчик: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W w:w="499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Подрядчик: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464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499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67" w:right="567" w:bottom="567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7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49</w:t>
    </w:r>
    <w:r>
      <w:rPr>
        <w:sz w:val="24"/>
        <w:szCs w:val="24"/>
      </w:rPr>
      <w:fldChar w:fldCharType="end"/>
    </w:r>
    <w:r/>
  </w:p>
  <w:p>
    <w:pPr>
      <w:pStyle w:val="98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6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pStyle w:val="1002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03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04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05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84" w:hanging="360"/>
        <w:tabs>
          <w:tab w:val="num" w:pos="784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04" w:hanging="360"/>
        <w:tabs>
          <w:tab w:val="num" w:pos="1504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4" w:hanging="360"/>
        <w:tabs>
          <w:tab w:val="num" w:pos="222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4" w:hanging="360"/>
        <w:tabs>
          <w:tab w:val="num" w:pos="294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4" w:hanging="360"/>
        <w:tabs>
          <w:tab w:val="num" w:pos="3664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4" w:hanging="360"/>
        <w:tabs>
          <w:tab w:val="num" w:pos="438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4" w:hanging="360"/>
        <w:tabs>
          <w:tab w:val="num" w:pos="510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4" w:hanging="360"/>
        <w:tabs>
          <w:tab w:val="num" w:pos="5824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4" w:hanging="360"/>
        <w:tabs>
          <w:tab w:val="num" w:pos="6544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pStyle w:val="972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973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974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bullet"/>
      <w:pStyle w:val="980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41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</w:lvl>
  </w:abstractNum>
  <w:abstractNum w:abstractNumId="43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num w:numId="1">
    <w:abstractNumId w:val="27"/>
  </w:num>
  <w:num w:numId="2">
    <w:abstractNumId w:val="31"/>
  </w:num>
  <w:num w:numId="3">
    <w:abstractNumId w:val="25"/>
  </w:num>
  <w:num w:numId="4">
    <w:abstractNumId w:val="17"/>
  </w:num>
  <w:num w:numId="5">
    <w:abstractNumId w:val="13"/>
  </w:num>
  <w:num w:numId="6">
    <w:abstractNumId w:val="3"/>
  </w:num>
  <w:num w:numId="7">
    <w:abstractNumId w:val="16"/>
  </w:num>
  <w:num w:numId="8">
    <w:abstractNumId w:val="2"/>
  </w:num>
  <w:num w:numId="9">
    <w:abstractNumId w:val="1"/>
  </w:num>
  <w:num w:numId="10">
    <w:abstractNumId w:val="10"/>
  </w:num>
  <w:num w:numId="11">
    <w:abstractNumId w:val="12"/>
  </w:num>
  <w:num w:numId="12">
    <w:abstractNumId w:val="24"/>
  </w:num>
  <w:num w:numId="13">
    <w:abstractNumId w:val="18"/>
  </w:num>
  <w:num w:numId="14">
    <w:abstractNumId w:val="29"/>
  </w:num>
  <w:num w:numId="15">
    <w:abstractNumId w:val="21"/>
  </w:num>
  <w:num w:numId="16">
    <w:abstractNumId w:val="20"/>
  </w:num>
  <w:num w:numId="17">
    <w:abstractNumId w:val="8"/>
  </w:num>
  <w:num w:numId="18">
    <w:abstractNumId w:val="9"/>
  </w:num>
  <w:num w:numId="19">
    <w:abstractNumId w:val="23"/>
  </w:num>
  <w:num w:numId="20">
    <w:abstractNumId w:val="28"/>
  </w:num>
  <w:num w:numId="21">
    <w:abstractNumId w:val="6"/>
  </w:num>
  <w:num w:numId="22">
    <w:abstractNumId w:val="0"/>
  </w:num>
  <w:num w:numId="23">
    <w:abstractNumId w:val="5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5"/>
  </w:num>
  <w:num w:numId="27">
    <w:abstractNumId w:val="7"/>
  </w:num>
  <w:num w:numId="28">
    <w:abstractNumId w:val="30"/>
  </w:num>
  <w:num w:numId="29">
    <w:abstractNumId w:val="22"/>
  </w:num>
  <w:num w:numId="30">
    <w:abstractNumId w:val="26"/>
  </w:num>
  <w:num w:numId="31">
    <w:abstractNumId w:val="19"/>
  </w:num>
  <w:num w:numId="32">
    <w:abstractNumId w:val="14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3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84">
    <w:name w:val="Heading 1 Char"/>
    <w:basedOn w:val="952"/>
    <w:link w:val="949"/>
    <w:uiPriority w:val="9"/>
    <w:rPr>
      <w:rFonts w:ascii="Arial" w:hAnsi="Arial" w:eastAsia="Arial" w:cs="Arial"/>
      <w:sz w:val="40"/>
      <w:szCs w:val="40"/>
    </w:rPr>
  </w:style>
  <w:style w:type="character" w:styleId="785">
    <w:name w:val="Heading 2 Char"/>
    <w:basedOn w:val="952"/>
    <w:link w:val="950"/>
    <w:uiPriority w:val="9"/>
    <w:rPr>
      <w:rFonts w:ascii="Arial" w:hAnsi="Arial" w:eastAsia="Arial" w:cs="Arial"/>
      <w:sz w:val="34"/>
    </w:rPr>
  </w:style>
  <w:style w:type="character" w:styleId="786">
    <w:name w:val="Heading 3 Char"/>
    <w:basedOn w:val="952"/>
    <w:link w:val="951"/>
    <w:uiPriority w:val="9"/>
    <w:rPr>
      <w:rFonts w:ascii="Arial" w:hAnsi="Arial" w:eastAsia="Arial" w:cs="Arial"/>
      <w:sz w:val="30"/>
      <w:szCs w:val="30"/>
    </w:rPr>
  </w:style>
  <w:style w:type="paragraph" w:styleId="787">
    <w:name w:val="Heading 4"/>
    <w:basedOn w:val="948"/>
    <w:next w:val="948"/>
    <w:link w:val="78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88">
    <w:name w:val="Heading 4 Char"/>
    <w:basedOn w:val="952"/>
    <w:link w:val="787"/>
    <w:uiPriority w:val="9"/>
    <w:rPr>
      <w:rFonts w:ascii="Arial" w:hAnsi="Arial" w:eastAsia="Arial" w:cs="Arial"/>
      <w:b/>
      <w:bCs/>
      <w:sz w:val="26"/>
      <w:szCs w:val="26"/>
    </w:rPr>
  </w:style>
  <w:style w:type="paragraph" w:styleId="789">
    <w:name w:val="Heading 5"/>
    <w:basedOn w:val="948"/>
    <w:next w:val="948"/>
    <w:link w:val="79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90">
    <w:name w:val="Heading 5 Char"/>
    <w:basedOn w:val="952"/>
    <w:link w:val="789"/>
    <w:uiPriority w:val="9"/>
    <w:rPr>
      <w:rFonts w:ascii="Arial" w:hAnsi="Arial" w:eastAsia="Arial" w:cs="Arial"/>
      <w:b/>
      <w:bCs/>
      <w:sz w:val="24"/>
      <w:szCs w:val="24"/>
    </w:rPr>
  </w:style>
  <w:style w:type="paragraph" w:styleId="791">
    <w:name w:val="Heading 6"/>
    <w:basedOn w:val="948"/>
    <w:next w:val="948"/>
    <w:link w:val="79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92">
    <w:name w:val="Heading 6 Char"/>
    <w:basedOn w:val="952"/>
    <w:link w:val="791"/>
    <w:uiPriority w:val="9"/>
    <w:rPr>
      <w:rFonts w:ascii="Arial" w:hAnsi="Arial" w:eastAsia="Arial" w:cs="Arial"/>
      <w:b/>
      <w:bCs/>
      <w:sz w:val="22"/>
      <w:szCs w:val="22"/>
    </w:rPr>
  </w:style>
  <w:style w:type="paragraph" w:styleId="793">
    <w:name w:val="Heading 7"/>
    <w:basedOn w:val="948"/>
    <w:next w:val="948"/>
    <w:link w:val="79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94">
    <w:name w:val="Heading 7 Char"/>
    <w:basedOn w:val="952"/>
    <w:link w:val="79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95">
    <w:name w:val="Heading 8"/>
    <w:basedOn w:val="948"/>
    <w:next w:val="948"/>
    <w:link w:val="79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96">
    <w:name w:val="Heading 8 Char"/>
    <w:basedOn w:val="952"/>
    <w:link w:val="795"/>
    <w:uiPriority w:val="9"/>
    <w:rPr>
      <w:rFonts w:ascii="Arial" w:hAnsi="Arial" w:eastAsia="Arial" w:cs="Arial"/>
      <w:i/>
      <w:iCs/>
      <w:sz w:val="22"/>
      <w:szCs w:val="22"/>
    </w:rPr>
  </w:style>
  <w:style w:type="paragraph" w:styleId="797">
    <w:name w:val="Heading 9"/>
    <w:basedOn w:val="948"/>
    <w:next w:val="948"/>
    <w:link w:val="79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8">
    <w:name w:val="Heading 9 Char"/>
    <w:basedOn w:val="952"/>
    <w:link w:val="797"/>
    <w:uiPriority w:val="9"/>
    <w:rPr>
      <w:rFonts w:ascii="Arial" w:hAnsi="Arial" w:eastAsia="Arial" w:cs="Arial"/>
      <w:i/>
      <w:iCs/>
      <w:sz w:val="21"/>
      <w:szCs w:val="21"/>
    </w:rPr>
  </w:style>
  <w:style w:type="paragraph" w:styleId="799">
    <w:name w:val="No Spacing"/>
    <w:uiPriority w:val="1"/>
    <w:qFormat/>
    <w:pPr>
      <w:spacing w:before="0" w:after="0" w:line="240" w:lineRule="auto"/>
    </w:pPr>
  </w:style>
  <w:style w:type="character" w:styleId="800">
    <w:name w:val="Title Char"/>
    <w:basedOn w:val="952"/>
    <w:link w:val="991"/>
    <w:uiPriority w:val="10"/>
    <w:rPr>
      <w:sz w:val="48"/>
      <w:szCs w:val="48"/>
    </w:rPr>
  </w:style>
  <w:style w:type="paragraph" w:styleId="801">
    <w:name w:val="Subtitle"/>
    <w:basedOn w:val="948"/>
    <w:next w:val="948"/>
    <w:link w:val="802"/>
    <w:uiPriority w:val="11"/>
    <w:qFormat/>
    <w:pPr>
      <w:spacing w:before="200" w:after="200"/>
    </w:pPr>
    <w:rPr>
      <w:sz w:val="24"/>
      <w:szCs w:val="24"/>
    </w:rPr>
  </w:style>
  <w:style w:type="character" w:styleId="802">
    <w:name w:val="Subtitle Char"/>
    <w:basedOn w:val="952"/>
    <w:link w:val="801"/>
    <w:uiPriority w:val="11"/>
    <w:rPr>
      <w:sz w:val="24"/>
      <w:szCs w:val="24"/>
    </w:rPr>
  </w:style>
  <w:style w:type="paragraph" w:styleId="803">
    <w:name w:val="Quote"/>
    <w:basedOn w:val="948"/>
    <w:next w:val="948"/>
    <w:link w:val="804"/>
    <w:uiPriority w:val="29"/>
    <w:qFormat/>
    <w:pPr>
      <w:ind w:left="720" w:right="720"/>
    </w:pPr>
    <w:rPr>
      <w:i/>
    </w:rPr>
  </w:style>
  <w:style w:type="character" w:styleId="804">
    <w:name w:val="Quote Char"/>
    <w:link w:val="803"/>
    <w:uiPriority w:val="29"/>
    <w:rPr>
      <w:i/>
    </w:rPr>
  </w:style>
  <w:style w:type="paragraph" w:styleId="805">
    <w:name w:val="Intense Quote"/>
    <w:basedOn w:val="948"/>
    <w:next w:val="948"/>
    <w:link w:val="80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6">
    <w:name w:val="Intense Quote Char"/>
    <w:link w:val="805"/>
    <w:uiPriority w:val="30"/>
    <w:rPr>
      <w:i/>
    </w:rPr>
  </w:style>
  <w:style w:type="character" w:styleId="807">
    <w:name w:val="Header Char"/>
    <w:basedOn w:val="952"/>
    <w:link w:val="956"/>
    <w:uiPriority w:val="99"/>
  </w:style>
  <w:style w:type="character" w:styleId="808">
    <w:name w:val="Footer Char"/>
    <w:basedOn w:val="952"/>
    <w:link w:val="987"/>
    <w:uiPriority w:val="99"/>
  </w:style>
  <w:style w:type="character" w:styleId="809">
    <w:name w:val="Caption Char"/>
    <w:basedOn w:val="999"/>
    <w:link w:val="987"/>
    <w:uiPriority w:val="99"/>
  </w:style>
  <w:style w:type="table" w:styleId="810">
    <w:name w:val="Table Grid Light"/>
    <w:basedOn w:val="95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1">
    <w:name w:val="Plain Table 1"/>
    <w:basedOn w:val="95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2">
    <w:name w:val="Plain Table 2"/>
    <w:basedOn w:val="95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3">
    <w:name w:val="Plain Table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4">
    <w:name w:val="Plain Table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Plain Table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6">
    <w:name w:val="Grid Table 1 Light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Grid Table 1 Light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1 Light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Grid Table 1 Light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Grid Table 1 Light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Grid Table 1 Light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Grid Table 1 Light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Grid Table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2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2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2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2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2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2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3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3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3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3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3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3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4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8">
    <w:name w:val="Grid Table 4 - Accent 1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9">
    <w:name w:val="Grid Table 4 - Accent 2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0">
    <w:name w:val="Grid Table 4 - Accent 3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1">
    <w:name w:val="Grid Table 4 - Accent 4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42">
    <w:name w:val="Grid Table 4 - Accent 5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3">
    <w:name w:val="Grid Table 4 - Accent 6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4">
    <w:name w:val="Grid Table 5 Dark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5">
    <w:name w:val="Grid Table 5 Dark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6">
    <w:name w:val="Grid Table 5 Dark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7">
    <w:name w:val="Grid Table 5 Dark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48">
    <w:name w:val="Grid Table 5 Dark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49">
    <w:name w:val="Grid Table 5 Dark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50">
    <w:name w:val="Grid Table 5 Dark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51">
    <w:name w:val="Grid Table 6 Colorful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52">
    <w:name w:val="Grid Table 6 Colorful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53">
    <w:name w:val="Grid Table 6 Colorful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54">
    <w:name w:val="Grid Table 6 Colorful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55">
    <w:name w:val="Grid Table 6 Colorful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56">
    <w:name w:val="Grid Table 6 Colorful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7">
    <w:name w:val="Grid Table 6 Colorful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8">
    <w:name w:val="Grid Table 7 Colorful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7 Colorful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7 Colorful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7 Colorful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7 Colorful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7 Colorful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7 Colorful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List Table 1 Light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1 Light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1 Light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1 Light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List Table 1 Light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List Table 1 Light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1 Light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73">
    <w:name w:val="List Table 2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74">
    <w:name w:val="List Table 2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75">
    <w:name w:val="List Table 2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6">
    <w:name w:val="List Table 2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7">
    <w:name w:val="List Table 2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78">
    <w:name w:val="List Table 2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9">
    <w:name w:val="List Table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3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3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3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3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3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3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4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4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4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4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4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4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5 Dark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4">
    <w:name w:val="List Table 5 Dark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5">
    <w:name w:val="List Table 5 Dark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6">
    <w:name w:val="List Table 5 Dark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7">
    <w:name w:val="List Table 5 Dark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8">
    <w:name w:val="List Table 5 Dark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9">
    <w:name w:val="List Table 5 Dark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0">
    <w:name w:val="List Table 6 Colorful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1">
    <w:name w:val="List Table 6 Colorful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2">
    <w:name w:val="List Table 6 Colorful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03">
    <w:name w:val="List Table 6 Colorful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04">
    <w:name w:val="List Table 6 Colorful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05">
    <w:name w:val="List Table 6 Colorful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6">
    <w:name w:val="List Table 6 Colorful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7">
    <w:name w:val="List Table 7 Colorful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08">
    <w:name w:val="List Table 7 Colorful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09">
    <w:name w:val="List Table 7 Colorful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10">
    <w:name w:val="List Table 7 Colorful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11">
    <w:name w:val="List Table 7 Colorful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12">
    <w:name w:val="List Table 7 Colorful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13">
    <w:name w:val="List Table 7 Colorful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14">
    <w:name w:val="Lined - Accent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5">
    <w:name w:val="Lined - Accent 1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6">
    <w:name w:val="Lined - Accent 2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7">
    <w:name w:val="Lined - Accent 3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8">
    <w:name w:val="Lined - Accent 4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9">
    <w:name w:val="Lined - Accent 5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0">
    <w:name w:val="Lined - Accent 6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1">
    <w:name w:val="Bordered &amp; Lined - Accent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2">
    <w:name w:val="Bordered &amp; Lined - Accent 1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3">
    <w:name w:val="Bordered &amp; Lined - Accent 2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4">
    <w:name w:val="Bordered &amp; Lined - Accent 3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5">
    <w:name w:val="Bordered &amp; Lined - Accent 4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6">
    <w:name w:val="Bordered &amp; Lined - Accent 5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7">
    <w:name w:val="Bordered &amp; Lined - Accent 6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8">
    <w:name w:val="Bordered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9">
    <w:name w:val="Bordered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0">
    <w:name w:val="Bordered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1">
    <w:name w:val="Bordered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32">
    <w:name w:val="Bordered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33">
    <w:name w:val="Bordered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34">
    <w:name w:val="Bordered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35">
    <w:name w:val="Footnote Text Char"/>
    <w:link w:val="961"/>
    <w:uiPriority w:val="99"/>
    <w:rPr>
      <w:sz w:val="18"/>
    </w:rPr>
  </w:style>
  <w:style w:type="character" w:styleId="936">
    <w:name w:val="Endnote Text Char"/>
    <w:link w:val="1008"/>
    <w:uiPriority w:val="99"/>
    <w:rPr>
      <w:sz w:val="20"/>
    </w:rPr>
  </w:style>
  <w:style w:type="paragraph" w:styleId="937">
    <w:name w:val="toc 1"/>
    <w:basedOn w:val="948"/>
    <w:next w:val="948"/>
    <w:uiPriority w:val="39"/>
    <w:unhideWhenUsed/>
    <w:pPr>
      <w:ind w:left="0" w:right="0" w:firstLine="0"/>
      <w:spacing w:after="57"/>
    </w:pPr>
  </w:style>
  <w:style w:type="paragraph" w:styleId="938">
    <w:name w:val="toc 2"/>
    <w:basedOn w:val="948"/>
    <w:next w:val="948"/>
    <w:uiPriority w:val="39"/>
    <w:unhideWhenUsed/>
    <w:pPr>
      <w:ind w:left="283" w:right="0" w:firstLine="0"/>
      <w:spacing w:after="57"/>
    </w:pPr>
  </w:style>
  <w:style w:type="paragraph" w:styleId="939">
    <w:name w:val="toc 3"/>
    <w:basedOn w:val="948"/>
    <w:next w:val="948"/>
    <w:uiPriority w:val="39"/>
    <w:unhideWhenUsed/>
    <w:pPr>
      <w:ind w:left="567" w:right="0" w:firstLine="0"/>
      <w:spacing w:after="57"/>
    </w:pPr>
  </w:style>
  <w:style w:type="paragraph" w:styleId="940">
    <w:name w:val="toc 4"/>
    <w:basedOn w:val="948"/>
    <w:next w:val="948"/>
    <w:uiPriority w:val="39"/>
    <w:unhideWhenUsed/>
    <w:pPr>
      <w:ind w:left="850" w:right="0" w:firstLine="0"/>
      <w:spacing w:after="57"/>
    </w:pPr>
  </w:style>
  <w:style w:type="paragraph" w:styleId="941">
    <w:name w:val="toc 5"/>
    <w:basedOn w:val="948"/>
    <w:next w:val="948"/>
    <w:uiPriority w:val="39"/>
    <w:unhideWhenUsed/>
    <w:pPr>
      <w:ind w:left="1134" w:right="0" w:firstLine="0"/>
      <w:spacing w:after="57"/>
    </w:pPr>
  </w:style>
  <w:style w:type="paragraph" w:styleId="942">
    <w:name w:val="toc 6"/>
    <w:basedOn w:val="948"/>
    <w:next w:val="948"/>
    <w:uiPriority w:val="39"/>
    <w:unhideWhenUsed/>
    <w:pPr>
      <w:ind w:left="1417" w:right="0" w:firstLine="0"/>
      <w:spacing w:after="57"/>
    </w:pPr>
  </w:style>
  <w:style w:type="paragraph" w:styleId="943">
    <w:name w:val="toc 7"/>
    <w:basedOn w:val="948"/>
    <w:next w:val="948"/>
    <w:uiPriority w:val="39"/>
    <w:unhideWhenUsed/>
    <w:pPr>
      <w:ind w:left="1701" w:right="0" w:firstLine="0"/>
      <w:spacing w:after="57"/>
    </w:pPr>
  </w:style>
  <w:style w:type="paragraph" w:styleId="944">
    <w:name w:val="toc 8"/>
    <w:basedOn w:val="948"/>
    <w:next w:val="948"/>
    <w:uiPriority w:val="39"/>
    <w:unhideWhenUsed/>
    <w:pPr>
      <w:ind w:left="1984" w:right="0" w:firstLine="0"/>
      <w:spacing w:after="57"/>
    </w:pPr>
  </w:style>
  <w:style w:type="paragraph" w:styleId="945">
    <w:name w:val="toc 9"/>
    <w:basedOn w:val="948"/>
    <w:next w:val="948"/>
    <w:uiPriority w:val="39"/>
    <w:unhideWhenUsed/>
    <w:pPr>
      <w:ind w:left="2268" w:right="0" w:firstLine="0"/>
      <w:spacing w:after="57"/>
    </w:pPr>
  </w:style>
  <w:style w:type="paragraph" w:styleId="946">
    <w:name w:val="TOC Heading"/>
    <w:uiPriority w:val="39"/>
    <w:unhideWhenUsed/>
  </w:style>
  <w:style w:type="paragraph" w:styleId="947">
    <w:name w:val="table of figures"/>
    <w:basedOn w:val="948"/>
    <w:next w:val="948"/>
    <w:uiPriority w:val="99"/>
    <w:unhideWhenUsed/>
    <w:pPr>
      <w:spacing w:after="0" w:afterAutospacing="0"/>
    </w:pPr>
  </w:style>
  <w:style w:type="paragraph" w:styleId="948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49">
    <w:name w:val="Heading 1"/>
    <w:basedOn w:val="948"/>
    <w:next w:val="948"/>
    <w:link w:val="993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950">
    <w:name w:val="Heading 2"/>
    <w:basedOn w:val="948"/>
    <w:next w:val="948"/>
    <w:link w:val="994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951">
    <w:name w:val="Heading 3"/>
    <w:basedOn w:val="948"/>
    <w:next w:val="948"/>
    <w:link w:val="970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952" w:default="1">
    <w:name w:val="Default Paragraph Font"/>
    <w:uiPriority w:val="1"/>
    <w:semiHidden/>
    <w:unhideWhenUsed/>
  </w:style>
  <w:style w:type="table" w:styleId="95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54" w:default="1">
    <w:name w:val="No List"/>
    <w:uiPriority w:val="99"/>
    <w:semiHidden/>
    <w:unhideWhenUsed/>
  </w:style>
  <w:style w:type="paragraph" w:styleId="955">
    <w:name w:val="Body Text 3"/>
    <w:basedOn w:val="948"/>
    <w:link w:val="990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956">
    <w:name w:val="Header"/>
    <w:basedOn w:val="948"/>
    <w:pPr>
      <w:tabs>
        <w:tab w:val="center" w:pos="4677" w:leader="none"/>
        <w:tab w:val="right" w:pos="9355" w:leader="none"/>
      </w:tabs>
    </w:pPr>
  </w:style>
  <w:style w:type="paragraph" w:styleId="957">
    <w:name w:val="Body Text"/>
    <w:basedOn w:val="948"/>
    <w:pPr>
      <w:spacing w:after="120"/>
    </w:pPr>
  </w:style>
  <w:style w:type="paragraph" w:styleId="958" w:customStyle="1">
    <w:name w:val="Style1"/>
    <w:basedOn w:val="948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959">
    <w:name w:val="Body Text 2"/>
    <w:basedOn w:val="948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960" w:customStyle="1">
    <w:name w:val="Знак"/>
    <w:basedOn w:val="94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1">
    <w:name w:val="footnote text"/>
    <w:basedOn w:val="948"/>
    <w:link w:val="1006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962">
    <w:name w:val="footnote reference"/>
    <w:rPr>
      <w:vertAlign w:val="superscript"/>
    </w:rPr>
  </w:style>
  <w:style w:type="table" w:styleId="963">
    <w:name w:val="Table Grid"/>
    <w:basedOn w:val="953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64" w:customStyle="1">
    <w:name w:val="Знак Знак Знак Знак Знак Знак Знак"/>
    <w:basedOn w:val="94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5" w:customStyle="1">
    <w:name w:val="Знак2"/>
    <w:basedOn w:val="94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6" w:customStyle="1">
    <w:name w:val="Знак Знак Знак Знак Знак Знак Знак Знак Знак"/>
    <w:basedOn w:val="948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67" w:customStyle="1">
    <w:name w:val="Пункт договора"/>
    <w:basedOn w:val="948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968" w:customStyle="1">
    <w:name w:val="Подпункт договора"/>
    <w:basedOn w:val="948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969">
    <w:name w:val="Body Text Indent 3"/>
    <w:basedOn w:val="948"/>
    <w:pPr>
      <w:ind w:left="283"/>
      <w:spacing w:after="120"/>
    </w:pPr>
    <w:rPr>
      <w:sz w:val="16"/>
      <w:szCs w:val="16"/>
    </w:rPr>
  </w:style>
  <w:style w:type="character" w:styleId="970" w:customStyle="1">
    <w:name w:val="Заголовок 3 Знак"/>
    <w:link w:val="951"/>
    <w:rPr>
      <w:b/>
      <w:sz w:val="28"/>
    </w:rPr>
  </w:style>
  <w:style w:type="paragraph" w:styleId="971">
    <w:name w:val="List Paragraph"/>
    <w:basedOn w:val="948"/>
    <w:link w:val="1013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972" w:customStyle="1">
    <w:name w:val="1. Статья"/>
    <w:basedOn w:val="951"/>
    <w:link w:val="979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973" w:customStyle="1">
    <w:name w:val="2. Пункт"/>
    <w:basedOn w:val="951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974" w:customStyle="1">
    <w:name w:val="3. Подпункт"/>
    <w:basedOn w:val="951"/>
    <w:link w:val="975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975" w:customStyle="1">
    <w:name w:val="3. Подпункт Знак"/>
    <w:link w:val="974"/>
    <w:rPr>
      <w:b/>
      <w:bCs/>
      <w:sz w:val="24"/>
      <w:szCs w:val="24"/>
    </w:rPr>
  </w:style>
  <w:style w:type="paragraph" w:styleId="976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977">
    <w:name w:val="Balloon Text"/>
    <w:basedOn w:val="948"/>
    <w:link w:val="978"/>
    <w:pPr>
      <w:spacing w:line="240" w:lineRule="auto"/>
    </w:pPr>
    <w:rPr>
      <w:rFonts w:ascii="Tahoma" w:hAnsi="Tahoma"/>
      <w:sz w:val="16"/>
      <w:szCs w:val="16"/>
    </w:rPr>
  </w:style>
  <w:style w:type="character" w:styleId="978" w:customStyle="1">
    <w:name w:val="Текст выноски Знак"/>
    <w:link w:val="977"/>
    <w:rPr>
      <w:rFonts w:ascii="Tahoma" w:hAnsi="Tahoma" w:cs="Tahoma"/>
      <w:sz w:val="16"/>
      <w:szCs w:val="16"/>
    </w:rPr>
  </w:style>
  <w:style w:type="character" w:styleId="979" w:customStyle="1">
    <w:name w:val="1. Статья Знак"/>
    <w:link w:val="972"/>
    <w:rPr>
      <w:sz w:val="24"/>
      <w:szCs w:val="24"/>
    </w:rPr>
  </w:style>
  <w:style w:type="paragraph" w:styleId="980" w:customStyle="1">
    <w:name w:val="4. Отчерк"/>
    <w:basedOn w:val="948"/>
    <w:link w:val="981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981" w:customStyle="1">
    <w:name w:val="4. Отчерк Знак"/>
    <w:link w:val="980"/>
    <w:rPr>
      <w:sz w:val="24"/>
      <w:szCs w:val="24"/>
    </w:rPr>
  </w:style>
  <w:style w:type="character" w:styleId="982">
    <w:name w:val="annotation reference"/>
    <w:rPr>
      <w:sz w:val="16"/>
      <w:szCs w:val="16"/>
    </w:rPr>
  </w:style>
  <w:style w:type="paragraph" w:styleId="983">
    <w:name w:val="annotation text"/>
    <w:basedOn w:val="948"/>
    <w:link w:val="984"/>
    <w:pPr>
      <w:spacing w:line="240" w:lineRule="auto"/>
    </w:pPr>
    <w:rPr>
      <w:sz w:val="20"/>
      <w:szCs w:val="20"/>
    </w:rPr>
  </w:style>
  <w:style w:type="character" w:styleId="984" w:customStyle="1">
    <w:name w:val="Текст примечания Знак"/>
    <w:link w:val="983"/>
  </w:style>
  <w:style w:type="paragraph" w:styleId="985">
    <w:name w:val="annotation subject"/>
    <w:basedOn w:val="983"/>
    <w:next w:val="983"/>
    <w:link w:val="986"/>
    <w:rPr>
      <w:b/>
      <w:bCs/>
    </w:rPr>
  </w:style>
  <w:style w:type="character" w:styleId="986" w:customStyle="1">
    <w:name w:val="Тема примечания Знак"/>
    <w:link w:val="985"/>
    <w:rPr>
      <w:b/>
      <w:bCs/>
    </w:rPr>
  </w:style>
  <w:style w:type="paragraph" w:styleId="987">
    <w:name w:val="Footer"/>
    <w:basedOn w:val="948"/>
    <w:link w:val="988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988" w:customStyle="1">
    <w:name w:val="Нижний колонтитул Знак"/>
    <w:link w:val="987"/>
    <w:uiPriority w:val="99"/>
    <w:rPr>
      <w:sz w:val="28"/>
      <w:szCs w:val="28"/>
    </w:rPr>
  </w:style>
  <w:style w:type="paragraph" w:styleId="989">
    <w:name w:val="Revision"/>
    <w:hidden/>
    <w:uiPriority w:val="99"/>
    <w:semiHidden/>
    <w:rPr>
      <w:sz w:val="28"/>
      <w:szCs w:val="28"/>
    </w:rPr>
  </w:style>
  <w:style w:type="character" w:styleId="990" w:customStyle="1">
    <w:name w:val="Основной текст 3 Знак"/>
    <w:link w:val="955"/>
    <w:rPr>
      <w:color w:val="0000ff"/>
      <w:sz w:val="24"/>
      <w:szCs w:val="24"/>
      <w:lang w:eastAsia="en-US"/>
    </w:rPr>
  </w:style>
  <w:style w:type="paragraph" w:styleId="991">
    <w:name w:val="Title"/>
    <w:basedOn w:val="948"/>
    <w:link w:val="992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992" w:customStyle="1">
    <w:name w:val="Заголовок Знак"/>
    <w:link w:val="991"/>
    <w:rPr>
      <w:b/>
      <w:sz w:val="22"/>
      <w:szCs w:val="22"/>
      <w:shd w:val="clear" w:color="auto" w:fill="ffffff"/>
    </w:rPr>
  </w:style>
  <w:style w:type="character" w:styleId="993" w:customStyle="1">
    <w:name w:val="Заголовок 1 Знак"/>
    <w:link w:val="949"/>
    <w:rPr>
      <w:rFonts w:ascii="Cambria" w:hAnsi="Cambria" w:eastAsia="Times New Roman" w:cs="Times New Roman"/>
      <w:b/>
      <w:bCs/>
      <w:sz w:val="32"/>
      <w:szCs w:val="32"/>
    </w:rPr>
  </w:style>
  <w:style w:type="character" w:styleId="994" w:customStyle="1">
    <w:name w:val="Заголовок 2 Знак"/>
    <w:link w:val="95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995">
    <w:name w:val="Body Text Indent"/>
    <w:basedOn w:val="948"/>
    <w:link w:val="996"/>
    <w:pPr>
      <w:ind w:left="283"/>
      <w:spacing w:after="120"/>
    </w:pPr>
  </w:style>
  <w:style w:type="character" w:styleId="996" w:customStyle="1">
    <w:name w:val="Основной текст с отступом Знак"/>
    <w:link w:val="995"/>
    <w:rPr>
      <w:sz w:val="28"/>
      <w:szCs w:val="28"/>
    </w:rPr>
  </w:style>
  <w:style w:type="paragraph" w:styleId="997" w:customStyle="1">
    <w:name w:val="Пункт 3.3.3"/>
    <w:basedOn w:val="948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998" w:customStyle="1">
    <w:name w:val="Заглавие"/>
    <w:basedOn w:val="948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999">
    <w:name w:val="Caption"/>
    <w:basedOn w:val="948"/>
    <w:next w:val="948"/>
    <w:link w:val="809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00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01" w:customStyle="1">
    <w:name w:val="Знак1"/>
    <w:basedOn w:val="94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2" w:customStyle="1">
    <w:name w:val="Контракт-раздел"/>
    <w:basedOn w:val="948"/>
    <w:pPr>
      <w:numPr>
        <w:ilvl w:val="0"/>
        <w:numId w:val="5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03" w:customStyle="1">
    <w:name w:val="Контракт-пункт"/>
    <w:basedOn w:val="948"/>
    <w:pPr>
      <w:numPr>
        <w:ilvl w:val="1"/>
        <w:numId w:val="5"/>
      </w:numPr>
    </w:pPr>
  </w:style>
  <w:style w:type="paragraph" w:styleId="1004" w:customStyle="1">
    <w:name w:val="Контракт-подпункт"/>
    <w:basedOn w:val="948"/>
    <w:pPr>
      <w:numPr>
        <w:ilvl w:val="2"/>
        <w:numId w:val="5"/>
      </w:numPr>
    </w:pPr>
  </w:style>
  <w:style w:type="paragraph" w:styleId="1005" w:customStyle="1">
    <w:name w:val="Контракт-подподпункт"/>
    <w:basedOn w:val="948"/>
    <w:pPr>
      <w:numPr>
        <w:ilvl w:val="3"/>
        <w:numId w:val="5"/>
      </w:numPr>
    </w:pPr>
  </w:style>
  <w:style w:type="character" w:styleId="1006" w:customStyle="1">
    <w:name w:val="Текст сноски Знак"/>
    <w:link w:val="961"/>
    <w:uiPriority w:val="99"/>
  </w:style>
  <w:style w:type="character" w:styleId="1007">
    <w:name w:val="Hyperlink"/>
    <w:uiPriority w:val="99"/>
    <w:unhideWhenUsed/>
    <w:rPr>
      <w:color w:val="0000ff"/>
      <w:u w:val="single"/>
    </w:rPr>
  </w:style>
  <w:style w:type="paragraph" w:styleId="1008">
    <w:name w:val="endnote text"/>
    <w:basedOn w:val="948"/>
    <w:link w:val="1009"/>
    <w:uiPriority w:val="99"/>
    <w:semiHidden/>
    <w:unhideWhenUsed/>
    <w:rPr>
      <w:sz w:val="20"/>
      <w:szCs w:val="20"/>
    </w:rPr>
  </w:style>
  <w:style w:type="character" w:styleId="1009" w:customStyle="1">
    <w:name w:val="Текст концевой сноски Знак"/>
    <w:link w:val="1008"/>
    <w:uiPriority w:val="99"/>
    <w:semiHidden/>
  </w:style>
  <w:style w:type="character" w:styleId="1010">
    <w:name w:val="endnote reference"/>
    <w:uiPriority w:val="99"/>
    <w:semiHidden/>
    <w:unhideWhenUsed/>
    <w:rPr>
      <w:vertAlign w:val="superscript"/>
    </w:rPr>
  </w:style>
  <w:style w:type="paragraph" w:styleId="1011">
    <w:name w:val="Plain Text"/>
    <w:basedOn w:val="948"/>
    <w:link w:val="1012"/>
    <w:uiPriority w:val="99"/>
    <w:semiHidden/>
    <w:unhideWhenUsed/>
    <w:pPr>
      <w:ind w:firstLine="0"/>
      <w:jc w:val="left"/>
      <w:spacing w:line="240" w:lineRule="auto"/>
    </w:pPr>
    <w:rPr>
      <w:rFonts w:ascii="Calibri" w:hAnsi="Calibri" w:eastAsia="Calibri"/>
      <w:sz w:val="22"/>
      <w:szCs w:val="21"/>
      <w:lang w:eastAsia="en-US"/>
    </w:rPr>
  </w:style>
  <w:style w:type="character" w:styleId="1012" w:customStyle="1">
    <w:name w:val="Текст Знак"/>
    <w:basedOn w:val="952"/>
    <w:link w:val="1011"/>
    <w:uiPriority w:val="99"/>
    <w:semiHidden/>
    <w:rPr>
      <w:rFonts w:ascii="Calibri" w:hAnsi="Calibri" w:eastAsia="Calibri"/>
      <w:sz w:val="22"/>
      <w:szCs w:val="21"/>
      <w:lang w:eastAsia="en-US"/>
    </w:rPr>
  </w:style>
  <w:style w:type="character" w:styleId="1013" w:customStyle="1">
    <w:name w:val="Абзац списка Знак"/>
    <w:link w:val="971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360878-E279-4203-BA26-FB14B9A155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D0A567-4508-46CD-8419-8044D94AC137}">
  <ds:schemaRefs>
    <ds:schemaRef ds:uri="http://purl.org/dc/elements/1.1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129F71F-3C3E-45D3-BA38-74326E37F8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711EBE-4163-41A4-9D56-B22B0779FE7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950459B-04BC-4910-A6E6-BE4F92F9D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mehedova_en</cp:lastModifiedBy>
  <cp:revision>9</cp:revision>
  <dcterms:created xsi:type="dcterms:W3CDTF">2025-03-11T04:55:00Z</dcterms:created>
  <dcterms:modified xsi:type="dcterms:W3CDTF">2025-07-22T04:48:45Z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